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C8E4" w14:textId="66EB0D46" w:rsidR="008A0BA3" w:rsidRPr="008A0BA3" w:rsidRDefault="008A0BA3" w:rsidP="008A0BA3">
      <w:pPr>
        <w:jc w:val="both"/>
        <w:rPr>
          <w:b/>
          <w:bCs/>
          <w:sz w:val="40"/>
          <w:szCs w:val="40"/>
          <w:rtl/>
        </w:rPr>
      </w:pPr>
      <w:r w:rsidRPr="008A0BA3">
        <w:rPr>
          <w:b/>
          <w:bCs/>
          <w:sz w:val="40"/>
          <w:szCs w:val="40"/>
          <w:rtl/>
        </w:rPr>
        <w:t>قرار تنظيمي بتعلق بتعديل اجراءات دراسة الطلبات المقدمة من قبل الشركات المساهمة العامة لتسجيل اسهم الزيادة في رأس المال عن طريق رسملة الديون</w:t>
      </w:r>
      <w:r w:rsidRPr="008A0BA3">
        <w:rPr>
          <w:rFonts w:hint="cs"/>
          <w:b/>
          <w:bCs/>
          <w:sz w:val="40"/>
          <w:szCs w:val="40"/>
          <w:rtl/>
        </w:rPr>
        <w:t xml:space="preserve"> لسنة 2022</w:t>
      </w:r>
    </w:p>
    <w:p w14:paraId="452641EA" w14:textId="77777777" w:rsidR="008A0BA3" w:rsidRPr="008A0BA3" w:rsidRDefault="008A0BA3" w:rsidP="008A0BA3">
      <w:pPr>
        <w:jc w:val="both"/>
        <w:rPr>
          <w:sz w:val="40"/>
          <w:szCs w:val="40"/>
          <w:rtl/>
        </w:rPr>
      </w:pPr>
    </w:p>
    <w:p w14:paraId="15BA45E8" w14:textId="0C3612CA" w:rsidR="008A0BA3" w:rsidRPr="008A0BA3" w:rsidRDefault="008A0BA3" w:rsidP="008A0BA3">
      <w:pPr>
        <w:jc w:val="both"/>
        <w:rPr>
          <w:sz w:val="40"/>
          <w:szCs w:val="40"/>
          <w:rtl/>
        </w:rPr>
      </w:pPr>
      <w:r w:rsidRPr="008A0BA3">
        <w:rPr>
          <w:sz w:val="40"/>
          <w:szCs w:val="40"/>
          <w:rtl/>
        </w:rPr>
        <w:t xml:space="preserve">قرار مجلس مفوضي هيئة الأوراق المالية رقم (2022/24) تاريخ 2022/2/3 </w:t>
      </w:r>
      <w:r w:rsidRPr="008A0BA3">
        <w:rPr>
          <w:rFonts w:hint="cs"/>
          <w:sz w:val="40"/>
          <w:szCs w:val="40"/>
          <w:rtl/>
        </w:rPr>
        <w:t>بالطلب</w:t>
      </w:r>
      <w:r w:rsidRPr="008A0BA3">
        <w:rPr>
          <w:sz w:val="40"/>
          <w:szCs w:val="40"/>
          <w:rtl/>
        </w:rPr>
        <w:t xml:space="preserve"> من الشركات المساهمة العامة التي تتقدم بطلب تسجيل اسهم الزيادة في رأس المال عن طريق رسملة الديون ما يلي:</w:t>
      </w:r>
    </w:p>
    <w:p w14:paraId="26189978" w14:textId="77777777" w:rsidR="008A0BA3" w:rsidRPr="008A0BA3" w:rsidRDefault="008A0BA3" w:rsidP="008A0BA3">
      <w:pPr>
        <w:jc w:val="both"/>
        <w:rPr>
          <w:sz w:val="40"/>
          <w:szCs w:val="40"/>
          <w:rtl/>
        </w:rPr>
      </w:pPr>
      <w:r w:rsidRPr="008A0BA3">
        <w:rPr>
          <w:sz w:val="40"/>
          <w:szCs w:val="40"/>
          <w:rtl/>
        </w:rPr>
        <w:t>أولاً: تكليف مدقق حساباتها القانوني بدراسة الذمم الدائنة المنوي رسملتها بما في ذلك دراسة وتدقيق الوثائق والمستندات والمعززات لهذه الذمم ودراسة كيفية نشوء الذمم واصدار تقرير لهيئة الأوراق المالية يتضمن رأي المدفق حول عدالة هذه الذمم وبيان أية تحفظات حولها إن وجدت، مع توضيح الأسباب.</w:t>
      </w:r>
    </w:p>
    <w:p w14:paraId="18C44F50" w14:textId="77777777" w:rsidR="008A0BA3" w:rsidRPr="008A0BA3" w:rsidRDefault="008A0BA3" w:rsidP="008A0BA3">
      <w:pPr>
        <w:jc w:val="both"/>
        <w:rPr>
          <w:sz w:val="40"/>
          <w:szCs w:val="40"/>
          <w:rtl/>
        </w:rPr>
      </w:pPr>
      <w:r w:rsidRPr="008A0BA3">
        <w:rPr>
          <w:sz w:val="40"/>
          <w:szCs w:val="40"/>
          <w:rtl/>
        </w:rPr>
        <w:t>ثانياً: الالتزام بأحكام المادة (9/ج) من تعليمات اصدار الأوراق المالية، والتي تشترط على مجلس ادارة المصدر أن يقدم للهيئة تقريراً يتضمن كيفية نشوء هذه الديون وآلية تقييمها، وأية أمور أخرى تطلبها الهيئة على أن يوقع التقرير من قبل رئيس وغالبية أعضاء مجلس الادارة ومدقق الحسابات ومدير الاصدار وان يتم الافصاح عنه للجمهور.</w:t>
      </w:r>
    </w:p>
    <w:p w14:paraId="37492597" w14:textId="77777777" w:rsidR="009744FE" w:rsidRPr="008A0BA3" w:rsidRDefault="009744FE" w:rsidP="008A0BA3">
      <w:pPr>
        <w:jc w:val="both"/>
        <w:rPr>
          <w:sz w:val="40"/>
          <w:szCs w:val="40"/>
        </w:rPr>
      </w:pPr>
    </w:p>
    <w:sectPr w:rsidR="009744FE" w:rsidRPr="008A0BA3"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A3"/>
    <w:rsid w:val="001C2426"/>
    <w:rsid w:val="008A0BA3"/>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97E8"/>
  <w15:chartTrackingRefBased/>
  <w15:docId w15:val="{60CB5A1E-9C5F-4CF4-94FE-A4910024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86">
      <w:bodyDiv w:val="1"/>
      <w:marLeft w:val="0"/>
      <w:marRight w:val="0"/>
      <w:marTop w:val="0"/>
      <w:marBottom w:val="0"/>
      <w:divBdr>
        <w:top w:val="none" w:sz="0" w:space="0" w:color="auto"/>
        <w:left w:val="none" w:sz="0" w:space="0" w:color="auto"/>
        <w:bottom w:val="none" w:sz="0" w:space="0" w:color="auto"/>
        <w:right w:val="none" w:sz="0" w:space="0" w:color="auto"/>
      </w:divBdr>
      <w:divsChild>
        <w:div w:id="2519796">
          <w:marLeft w:val="0"/>
          <w:marRight w:val="0"/>
          <w:marTop w:val="0"/>
          <w:marBottom w:val="0"/>
          <w:divBdr>
            <w:top w:val="single" w:sz="2" w:space="0" w:color="auto"/>
            <w:left w:val="single" w:sz="2" w:space="0" w:color="auto"/>
            <w:bottom w:val="single" w:sz="2" w:space="0" w:color="auto"/>
            <w:right w:val="single" w:sz="2" w:space="0" w:color="auto"/>
          </w:divBdr>
        </w:div>
        <w:div w:id="829096821">
          <w:marLeft w:val="0"/>
          <w:marRight w:val="0"/>
          <w:marTop w:val="0"/>
          <w:marBottom w:val="0"/>
          <w:divBdr>
            <w:top w:val="single" w:sz="2" w:space="0" w:color="auto"/>
            <w:left w:val="single" w:sz="2" w:space="0" w:color="auto"/>
            <w:bottom w:val="single" w:sz="2" w:space="0" w:color="auto"/>
            <w:right w:val="single" w:sz="2" w:space="0" w:color="auto"/>
          </w:divBdr>
        </w:div>
        <w:div w:id="400254797">
          <w:marLeft w:val="0"/>
          <w:marRight w:val="0"/>
          <w:marTop w:val="0"/>
          <w:marBottom w:val="0"/>
          <w:divBdr>
            <w:top w:val="single" w:sz="2" w:space="0" w:color="auto"/>
            <w:left w:val="single" w:sz="2" w:space="0" w:color="auto"/>
            <w:bottom w:val="single" w:sz="2" w:space="0" w:color="auto"/>
            <w:right w:val="single" w:sz="2" w:space="0" w:color="auto"/>
          </w:divBdr>
        </w:div>
        <w:div w:id="480192044">
          <w:marLeft w:val="0"/>
          <w:marRight w:val="0"/>
          <w:marTop w:val="0"/>
          <w:marBottom w:val="0"/>
          <w:divBdr>
            <w:top w:val="single" w:sz="2" w:space="0" w:color="auto"/>
            <w:left w:val="single" w:sz="2" w:space="0" w:color="auto"/>
            <w:bottom w:val="single" w:sz="2" w:space="0" w:color="auto"/>
            <w:right w:val="single" w:sz="2" w:space="0" w:color="auto"/>
          </w:divBdr>
        </w:div>
        <w:div w:id="1934388587">
          <w:marLeft w:val="0"/>
          <w:marRight w:val="0"/>
          <w:marTop w:val="0"/>
          <w:marBottom w:val="0"/>
          <w:divBdr>
            <w:top w:val="single" w:sz="2" w:space="0" w:color="auto"/>
            <w:left w:val="single" w:sz="2" w:space="0" w:color="auto"/>
            <w:bottom w:val="single" w:sz="2" w:space="0" w:color="auto"/>
            <w:right w:val="single" w:sz="2" w:space="0" w:color="auto"/>
          </w:divBdr>
        </w:div>
        <w:div w:id="1520579676">
          <w:marLeft w:val="0"/>
          <w:marRight w:val="0"/>
          <w:marTop w:val="0"/>
          <w:marBottom w:val="0"/>
          <w:divBdr>
            <w:top w:val="single" w:sz="2" w:space="0" w:color="auto"/>
            <w:left w:val="single" w:sz="2" w:space="0" w:color="auto"/>
            <w:bottom w:val="single" w:sz="2" w:space="0" w:color="auto"/>
            <w:right w:val="single" w:sz="2" w:space="0" w:color="auto"/>
          </w:divBdr>
        </w:div>
        <w:div w:id="88286609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2024-10-06T10:54:00Z</dcterms:created>
  <dcterms:modified xsi:type="dcterms:W3CDTF">2024-10-06T10:57:00Z</dcterms:modified>
</cp:coreProperties>
</file>